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7B" w:rsidRDefault="0068012B" w:rsidP="00666F9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632423"/>
          <w:sz w:val="36"/>
          <w:szCs w:val="36"/>
        </w:rPr>
      </w:pPr>
      <w:r>
        <w:rPr>
          <w:rFonts w:ascii="Cambria,Bold" w:hAnsi="Cambria,Bold" w:cs="Cambria,Bold"/>
          <w:b/>
          <w:bCs/>
          <w:color w:val="632423"/>
          <w:sz w:val="36"/>
          <w:szCs w:val="36"/>
        </w:rPr>
        <w:t>DESCRIPTIF DE L’OPERATION</w:t>
      </w:r>
    </w:p>
    <w:p w:rsidR="0068012B" w:rsidRDefault="0068012B" w:rsidP="0068012B">
      <w:pPr>
        <w:autoSpaceDE w:val="0"/>
        <w:autoSpaceDN w:val="0"/>
        <w:adjustRightInd w:val="0"/>
        <w:spacing w:after="0" w:line="240" w:lineRule="auto"/>
        <w:ind w:firstLine="708"/>
        <w:rPr>
          <w:rFonts w:ascii="Cambria,Bold" w:hAnsi="Cambria,Bold" w:cs="Cambria,Bold"/>
          <w:b/>
          <w:bCs/>
          <w:color w:val="632423"/>
          <w:sz w:val="36"/>
          <w:szCs w:val="36"/>
        </w:rPr>
      </w:pPr>
    </w:p>
    <w:p w:rsidR="00FD3A7B" w:rsidRDefault="00FD3A7B" w:rsidP="00666F9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632423"/>
          <w:sz w:val="36"/>
          <w:szCs w:val="36"/>
        </w:rPr>
      </w:pPr>
      <w:r>
        <w:rPr>
          <w:rFonts w:ascii="Cambria,Bold" w:hAnsi="Cambria,Bold" w:cs="Cambria,Bold"/>
          <w:b/>
          <w:bCs/>
          <w:noProof/>
          <w:color w:val="632423"/>
          <w:sz w:val="36"/>
          <w:szCs w:val="36"/>
          <w:lang w:eastAsia="fr-FR"/>
        </w:rPr>
        <w:drawing>
          <wp:inline distT="0" distB="0" distL="0" distR="0">
            <wp:extent cx="5001895" cy="2596505"/>
            <wp:effectExtent l="0" t="0" r="825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paysag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" t="3590" r="-587" b="23090"/>
                    <a:stretch/>
                  </pic:blipFill>
                  <pic:spPr bwMode="auto">
                    <a:xfrm>
                      <a:off x="0" y="0"/>
                      <a:ext cx="5020403" cy="2606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632423"/>
          <w:sz w:val="36"/>
          <w:szCs w:val="36"/>
        </w:rPr>
      </w:pPr>
    </w:p>
    <w:p w:rsidR="00FD3A7B" w:rsidRPr="0068012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</w:pPr>
      <w:r w:rsidRPr="0068012B"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  <w:t>Présentation générale et principes d’aménagement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projet d’aménagement vise à rendre disponible 24 lots entre 600 et 700 m² pour la construction de pavillons d’habitation. 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terrains sont situés au lieu-dit « Les Aubarèdes » et le projet de lotissement s’inscrit sur une emprise totale d’un peu plus de 18 000 m². Il est entouré par des zones déjà urbanisées et occupées de lotissements pavillonnaires que sont les quartiers de Vialmur à l’ouest, de Pampan au sud et des Aubarèdes à l’est.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Ces terrains présentent une exposition sud, sud-ouest avec une pente moyenne de 10 à 15% et se situent plutôt en partie haute du versant (altitude 168 à 192 m NGF) ce qui permet d’ouvrir la vue sur la vallée de la Corrèze et sur le centre historique de Brive 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Ces différentes dispositions rendent le site très accueillant pour un secteur d’habitat, qui bénéficie d’une exposition favorable pour intégrer la conception bioclimatique aux projets de constructions.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lotissement sera desservi par une voirie traversante dans le sens de l’allongement du terrain.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Elle se raccordera sur la rue Pierre Benoît au sud et sur la rue du commandant Marchal au nord. 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8012B" w:rsidRDefault="00FD3A7B" w:rsidP="0068012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632423"/>
          <w:sz w:val="36"/>
          <w:szCs w:val="36"/>
        </w:rPr>
      </w:pPr>
      <w:r>
        <w:rPr>
          <w:rFonts w:ascii="Calibri" w:hAnsi="Calibri" w:cs="Calibri"/>
          <w:color w:val="000000"/>
        </w:rPr>
        <w:t xml:space="preserve">Les différents lots seront desservis de part et d’autre de cette voie à double sens de circulation. </w:t>
      </w:r>
    </w:p>
    <w:p w:rsidR="0068012B" w:rsidRDefault="0068012B" w:rsidP="00FD3A7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632423"/>
          <w:sz w:val="36"/>
          <w:szCs w:val="36"/>
        </w:rPr>
      </w:pPr>
    </w:p>
    <w:p w:rsidR="00FD3A7B" w:rsidRPr="0068012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</w:pPr>
      <w:r w:rsidRPr="0068012B"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  <w:t>Situation cadastrale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projet concerne les parcelles n°14 section AW e</w:t>
      </w:r>
      <w:r w:rsidR="00666F97">
        <w:rPr>
          <w:rFonts w:ascii="Calibri" w:hAnsi="Calibri" w:cs="Calibri"/>
          <w:color w:val="000000"/>
        </w:rPr>
        <w:t>t n°238 section BD</w:t>
      </w:r>
      <w:r>
        <w:rPr>
          <w:rFonts w:ascii="Calibri" w:hAnsi="Calibri" w:cs="Calibri"/>
          <w:color w:val="000000"/>
        </w:rPr>
        <w:t>, présentant respectivement des contenances cadastrales de 370 m² et 17 962 m².</w:t>
      </w:r>
    </w:p>
    <w:p w:rsidR="0068012B" w:rsidRDefault="0068012B">
      <w:pPr>
        <w:rPr>
          <w:rFonts w:ascii="Cambria,Bold" w:hAnsi="Cambria,Bold" w:cs="Cambria,Bold"/>
          <w:b/>
          <w:bCs/>
          <w:color w:val="632423"/>
          <w:sz w:val="36"/>
          <w:szCs w:val="36"/>
        </w:rPr>
      </w:pPr>
      <w:r>
        <w:rPr>
          <w:rFonts w:ascii="Cambria,Bold" w:hAnsi="Cambria,Bold" w:cs="Cambria,Bold"/>
          <w:b/>
          <w:bCs/>
          <w:color w:val="632423"/>
          <w:sz w:val="36"/>
          <w:szCs w:val="36"/>
        </w:rPr>
        <w:br w:type="page"/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632423"/>
          <w:sz w:val="36"/>
          <w:szCs w:val="36"/>
        </w:rPr>
      </w:pPr>
    </w:p>
    <w:p w:rsidR="00FD3A7B" w:rsidRPr="0068012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</w:pPr>
      <w:r w:rsidRPr="0068012B"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  <w:t>Parti d’aménagement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 projet se positionne en zone AU au sens du zonage du Plan Local d’Urbanisme de la ville de Brive approuvé le 16/12/2011 (dernière modification simplifiée en date du 18/05/2016).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Selon le règlement du PLU, ces zones ont pour vocation « zones ouvertes à l’urbanisation sous réserve de la capacité des réseaux et du respect des orientations d’aménagements ». Le projet de lotissement a donc été étudié en concertation avec la ville de Brive afin d’assurer la prise en compte du parti d’aménagement. 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projet prévoit la création de 24 lots de surfaces moyennes, comparables avec celles des lots des secteurs déjà urbanisés en périphérie immédiate du projet. 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666F97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</w:t>
      </w:r>
      <w:r w:rsidR="00FD3A7B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lots</w:t>
      </w:r>
      <w:r w:rsidR="00FD3A7B">
        <w:rPr>
          <w:rFonts w:ascii="Calibri" w:hAnsi="Calibri" w:cs="Calibri"/>
          <w:color w:val="000000"/>
        </w:rPr>
        <w:t xml:space="preserve"> profitent de la topographie naturelle pour être implantés « en </w:t>
      </w:r>
      <w:r>
        <w:rPr>
          <w:rFonts w:ascii="Calibri" w:hAnsi="Calibri" w:cs="Calibri"/>
          <w:color w:val="000000"/>
        </w:rPr>
        <w:t>terrasses</w:t>
      </w:r>
      <w:r w:rsidR="00FD3A7B">
        <w:rPr>
          <w:rFonts w:ascii="Calibri" w:hAnsi="Calibri" w:cs="Calibri"/>
          <w:color w:val="000000"/>
        </w:rPr>
        <w:t xml:space="preserve"> » sur le versant</w:t>
      </w:r>
      <w:r w:rsidR="0068012B">
        <w:rPr>
          <w:rFonts w:ascii="Calibri" w:hAnsi="Calibri" w:cs="Calibri"/>
          <w:color w:val="000000"/>
        </w:rPr>
        <w:t xml:space="preserve"> </w:t>
      </w:r>
      <w:r w:rsidR="00FD3A7B">
        <w:rPr>
          <w:rFonts w:ascii="Calibri" w:hAnsi="Calibri" w:cs="Calibri"/>
          <w:color w:val="000000"/>
        </w:rPr>
        <w:t>sud. Cette disposition particulière permet de conserver une bonne exposition solaire tout en étant</w:t>
      </w:r>
      <w:r w:rsidR="0068012B">
        <w:rPr>
          <w:rFonts w:ascii="Calibri" w:hAnsi="Calibri" w:cs="Calibri"/>
          <w:color w:val="000000"/>
        </w:rPr>
        <w:t xml:space="preserve"> </w:t>
      </w:r>
      <w:r w:rsidR="00FD3A7B">
        <w:rPr>
          <w:rFonts w:ascii="Calibri" w:hAnsi="Calibri" w:cs="Calibri"/>
          <w:color w:val="000000"/>
        </w:rPr>
        <w:t>abrité des vents de nord.</w:t>
      </w:r>
    </w:p>
    <w:p w:rsidR="0068012B" w:rsidRDefault="0068012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Depuis les années 1950, ce secteur de la commune de Brive a connu une urbanisation</w:t>
      </w:r>
      <w:r w:rsidR="0068012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importante le présent projet venant en comblement d’un espace encore vierge entre</w:t>
      </w:r>
      <w:r w:rsidR="0068012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des secteurs urbanisés.</w:t>
      </w: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15"/>
          <w:szCs w:val="15"/>
        </w:rPr>
      </w:pPr>
    </w:p>
    <w:p w:rsidR="0068012B" w:rsidRDefault="0068012B" w:rsidP="00FD3A7B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15"/>
          <w:szCs w:val="15"/>
        </w:rPr>
      </w:pPr>
    </w:p>
    <w:p w:rsidR="00FD3A7B" w:rsidRPr="0068012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</w:pPr>
      <w:r w:rsidRPr="0068012B">
        <w:rPr>
          <w:rFonts w:ascii="Cambria,Bold" w:hAnsi="Cambria,Bold" w:cs="Cambria,Bold"/>
          <w:b/>
          <w:bCs/>
          <w:color w:val="1F4E79" w:themeColor="accent1" w:themeShade="80"/>
          <w:sz w:val="36"/>
          <w:szCs w:val="36"/>
        </w:rPr>
        <w:t>Espaces communs</w:t>
      </w:r>
      <w:bookmarkStart w:id="0" w:name="_GoBack"/>
      <w:bookmarkEnd w:id="0"/>
    </w:p>
    <w:p w:rsidR="0068012B" w:rsidRDefault="0068012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8012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espaces communs seront réalisés et financés intégralement par l’aménageur, en intégrant</w:t>
      </w:r>
      <w:r w:rsidR="0068012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les cahiers des charges de la mairie ainsi que des différents concessionnaires afin d</w:t>
      </w:r>
      <w:r w:rsidR="00666F97">
        <w:rPr>
          <w:rFonts w:ascii="Calibri" w:hAnsi="Calibri" w:cs="Calibri"/>
          <w:color w:val="000000"/>
        </w:rPr>
        <w:t>e</w:t>
      </w:r>
      <w:r w:rsidR="0068012B">
        <w:rPr>
          <w:rFonts w:ascii="Calibri" w:hAnsi="Calibri" w:cs="Calibri"/>
          <w:color w:val="000000"/>
        </w:rPr>
        <w:t xml:space="preserve"> </w:t>
      </w:r>
      <w:r w:rsidR="00666F97">
        <w:rPr>
          <w:rFonts w:ascii="Calibri" w:hAnsi="Calibri" w:cs="Calibri"/>
          <w:color w:val="000000"/>
        </w:rPr>
        <w:t>rétrocéder</w:t>
      </w:r>
      <w:r>
        <w:rPr>
          <w:rFonts w:ascii="Calibri" w:hAnsi="Calibri" w:cs="Calibri"/>
          <w:color w:val="000000"/>
        </w:rPr>
        <w:t xml:space="preserve"> ces équipements dans le domaine public.</w:t>
      </w:r>
    </w:p>
    <w:p w:rsidR="0068012B" w:rsidRDefault="0068012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Avant cette rétrocession, il sera dans un</w:t>
      </w:r>
      <w:r w:rsidR="0068012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premier temps constitué une association syndicale des acquéreurs de lots afin d’assurer la gestion</w:t>
      </w:r>
      <w:r w:rsidR="0068012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des espaces communs.</w:t>
      </w:r>
    </w:p>
    <w:p w:rsidR="0068012B" w:rsidRDefault="0068012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D3A7B" w:rsidRDefault="00FD3A7B" w:rsidP="00FD3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projet prévoit :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Une voie de desserte double sens, desservant les lots de part et d’autres,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cheminement piéton longitudinal à la voie, qui permettra une connexion entre les</w:t>
      </w:r>
      <w:r w:rsidR="0068012B" w:rsidRPr="0068012B">
        <w:rPr>
          <w:rFonts w:ascii="Calibri" w:hAnsi="Calibri" w:cs="Calibri"/>
          <w:color w:val="000000"/>
        </w:rPr>
        <w:t xml:space="preserve"> </w:t>
      </w:r>
      <w:r w:rsidRPr="0068012B">
        <w:rPr>
          <w:rFonts w:ascii="Calibri" w:hAnsi="Calibri" w:cs="Calibri"/>
          <w:color w:val="000000"/>
        </w:rPr>
        <w:t>rues Pierre Benoît et commandant Marchal,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aménagement paysager au sud du projet d’un peu plus de 1000 m², sous forme</w:t>
      </w:r>
      <w:r w:rsidR="0068012B" w:rsidRPr="0068012B">
        <w:rPr>
          <w:rFonts w:ascii="Calibri" w:hAnsi="Calibri" w:cs="Calibri"/>
          <w:color w:val="000000"/>
        </w:rPr>
        <w:t xml:space="preserve"> </w:t>
      </w:r>
      <w:r w:rsidRPr="0068012B">
        <w:rPr>
          <w:rFonts w:ascii="Calibri" w:hAnsi="Calibri" w:cs="Calibri"/>
          <w:color w:val="000000"/>
        </w:rPr>
        <w:t>d’arbres de haut jet regroupés en bosquets et de massifs arbustifs permettant de</w:t>
      </w:r>
      <w:r w:rsidR="0068012B" w:rsidRPr="0068012B">
        <w:rPr>
          <w:rFonts w:ascii="Calibri" w:hAnsi="Calibri" w:cs="Calibri"/>
          <w:color w:val="000000"/>
        </w:rPr>
        <w:t xml:space="preserve"> </w:t>
      </w:r>
      <w:r w:rsidRPr="0068012B">
        <w:rPr>
          <w:rFonts w:ascii="Calibri" w:hAnsi="Calibri" w:cs="Calibri"/>
          <w:color w:val="000000"/>
        </w:rPr>
        <w:t>couper la monotonie du paysage urbain alentour,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dispositif de gestion des eaux pluviales intégré aux espaces paysagers,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réseau d’assainissement des eaux usées raccordés sur le réseau collectif</w:t>
      </w:r>
      <w:r w:rsidR="0068012B" w:rsidRPr="0068012B">
        <w:rPr>
          <w:rFonts w:ascii="Calibri" w:hAnsi="Calibri" w:cs="Calibri"/>
          <w:color w:val="000000"/>
        </w:rPr>
        <w:t xml:space="preserve"> </w:t>
      </w:r>
      <w:r w:rsidRPr="0068012B">
        <w:rPr>
          <w:rFonts w:ascii="Calibri" w:hAnsi="Calibri" w:cs="Calibri"/>
          <w:color w:val="000000"/>
        </w:rPr>
        <w:t>(communauté d’agglomération de Brive),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réseau d’adduction en eau potable par extension du réseau de l’Agglo de Brive,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L’utilisation des poteaux incendie présents à proximité du projet et la mise en place d’un</w:t>
      </w:r>
      <w:r w:rsidR="0068012B" w:rsidRPr="0068012B">
        <w:rPr>
          <w:rFonts w:ascii="Calibri" w:hAnsi="Calibri" w:cs="Calibri"/>
          <w:color w:val="000000"/>
        </w:rPr>
        <w:t xml:space="preserve"> </w:t>
      </w:r>
      <w:r w:rsidRPr="0068012B">
        <w:rPr>
          <w:rFonts w:ascii="Calibri" w:hAnsi="Calibri" w:cs="Calibri"/>
          <w:color w:val="000000"/>
        </w:rPr>
        <w:t>nouvel hydrant au coeur du projet,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réseau d’alimentation électrique par extension du réseau existant (syndicat</w:t>
      </w:r>
      <w:r w:rsidR="0068012B" w:rsidRPr="0068012B">
        <w:rPr>
          <w:rFonts w:ascii="Calibri" w:hAnsi="Calibri" w:cs="Calibri"/>
          <w:color w:val="000000"/>
        </w:rPr>
        <w:t xml:space="preserve"> </w:t>
      </w:r>
      <w:r w:rsidRPr="0068012B">
        <w:rPr>
          <w:rFonts w:ascii="Calibri" w:hAnsi="Calibri" w:cs="Calibri"/>
          <w:color w:val="000000"/>
        </w:rPr>
        <w:t>d’électrification de Brive),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réseau d’éclairage public,</w:t>
      </w:r>
    </w:p>
    <w:p w:rsidR="00FD3A7B" w:rsidRPr="0068012B" w:rsidRDefault="00FD3A7B" w:rsidP="006801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012B">
        <w:rPr>
          <w:rFonts w:ascii="Calibri" w:hAnsi="Calibri" w:cs="Calibri"/>
          <w:color w:val="000000"/>
        </w:rPr>
        <w:t>Un réseau de télécommunications par extension du réseau existant,</w:t>
      </w:r>
    </w:p>
    <w:p w:rsidR="00C71584" w:rsidRDefault="00FD3A7B" w:rsidP="0068012B">
      <w:pPr>
        <w:pStyle w:val="Paragraphedeliste"/>
        <w:numPr>
          <w:ilvl w:val="0"/>
          <w:numId w:val="3"/>
        </w:numPr>
      </w:pPr>
      <w:r w:rsidRPr="0068012B">
        <w:rPr>
          <w:rFonts w:ascii="Calibri" w:hAnsi="Calibri" w:cs="Calibri"/>
          <w:color w:val="000000"/>
        </w:rPr>
        <w:t>Un réseau de distribution de gaz par extension du réseau existant.</w:t>
      </w:r>
    </w:p>
    <w:sectPr w:rsidR="00C71584" w:rsidSect="0068012B">
      <w:headerReference w:type="default" r:id="rId8"/>
      <w:footerReference w:type="default" r:id="rId9"/>
      <w:pgSz w:w="11906" w:h="16838"/>
      <w:pgMar w:top="1417" w:right="1417" w:bottom="1417" w:left="141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D0" w:rsidRDefault="007C21D0" w:rsidP="00FD3A7B">
      <w:pPr>
        <w:spacing w:after="0" w:line="240" w:lineRule="auto"/>
      </w:pPr>
      <w:r>
        <w:separator/>
      </w:r>
    </w:p>
  </w:endnote>
  <w:endnote w:type="continuationSeparator" w:id="0">
    <w:p w:rsidR="007C21D0" w:rsidRDefault="007C21D0" w:rsidP="00FD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726363"/>
      <w:docPartObj>
        <w:docPartGallery w:val="Page Numbers (Bottom of Page)"/>
        <w:docPartUnique/>
      </w:docPartObj>
    </w:sdtPr>
    <w:sdtEndPr/>
    <w:sdtContent>
      <w:p w:rsidR="0068012B" w:rsidRDefault="006801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F97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68012B" w:rsidRDefault="00680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D0" w:rsidRDefault="007C21D0" w:rsidP="00FD3A7B">
      <w:pPr>
        <w:spacing w:after="0" w:line="240" w:lineRule="auto"/>
      </w:pPr>
      <w:r>
        <w:separator/>
      </w:r>
    </w:p>
  </w:footnote>
  <w:footnote w:type="continuationSeparator" w:id="0">
    <w:p w:rsidR="007C21D0" w:rsidRDefault="007C21D0" w:rsidP="00FD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7B" w:rsidRDefault="00FD3A7B">
    <w:pPr>
      <w:pStyle w:val="En-tte"/>
    </w:pPr>
    <w:r>
      <w:rPr>
        <w:noProof/>
        <w:lang w:eastAsia="fr-FR"/>
      </w:rPr>
      <w:drawing>
        <wp:inline distT="0" distB="0" distL="0" distR="0">
          <wp:extent cx="5760720" cy="794385"/>
          <wp:effectExtent l="0" t="0" r="0" b="571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3A0"/>
    <w:multiLevelType w:val="hybridMultilevel"/>
    <w:tmpl w:val="95B60E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05205A"/>
    <w:multiLevelType w:val="hybridMultilevel"/>
    <w:tmpl w:val="BE80DE40"/>
    <w:lvl w:ilvl="0" w:tplc="2864CD66">
      <w:start w:val="1"/>
      <w:numFmt w:val="bullet"/>
      <w:lvlText w:val="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E0E28BA"/>
    <w:multiLevelType w:val="hybridMultilevel"/>
    <w:tmpl w:val="45ECCF2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7B"/>
    <w:rsid w:val="004833B4"/>
    <w:rsid w:val="00666F97"/>
    <w:rsid w:val="0068012B"/>
    <w:rsid w:val="007C21D0"/>
    <w:rsid w:val="00C71584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A6262"/>
  <w15:chartTrackingRefBased/>
  <w15:docId w15:val="{82F3F874-0BF2-413C-89E8-810C3B5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A7B"/>
  </w:style>
  <w:style w:type="paragraph" w:styleId="Pieddepage">
    <w:name w:val="footer"/>
    <w:basedOn w:val="Normal"/>
    <w:link w:val="PieddepageCar"/>
    <w:uiPriority w:val="99"/>
    <w:unhideWhenUsed/>
    <w:rsid w:val="00FD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A7B"/>
  </w:style>
  <w:style w:type="paragraph" w:styleId="Paragraphedeliste">
    <w:name w:val="List Paragraph"/>
    <w:basedOn w:val="Normal"/>
    <w:uiPriority w:val="34"/>
    <w:qFormat/>
    <w:rsid w:val="0068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2019-06-03T12:10:00Z</dcterms:created>
  <dcterms:modified xsi:type="dcterms:W3CDTF">2019-06-03T12:10:00Z</dcterms:modified>
</cp:coreProperties>
</file>